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8" w:rsidRDefault="00B47168" w:rsidP="005857D1">
      <w:pPr>
        <w:widowControl/>
        <w:spacing w:line="40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</w:p>
    <w:p w:rsidR="00B47168" w:rsidRDefault="00B47168" w:rsidP="005857D1">
      <w:pPr>
        <w:widowControl/>
        <w:spacing w:line="40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B47168" w:rsidRDefault="00B47168" w:rsidP="005857D1">
      <w:pPr>
        <w:widowControl/>
        <w:spacing w:line="400" w:lineRule="exact"/>
        <w:jc w:val="center"/>
        <w:rPr>
          <w:rFonts w:ascii="Times New Roman" w:eastAsia="华文中宋" w:hAnsi="Times New Roman" w:cs="Times New Roman"/>
          <w:color w:val="000000" w:themeColor="text1"/>
          <w:kern w:val="0"/>
          <w:sz w:val="36"/>
          <w:szCs w:val="36"/>
        </w:rPr>
      </w:pPr>
      <w:r w:rsidRPr="00DF11A3">
        <w:rPr>
          <w:rFonts w:ascii="Times New Roman" w:eastAsia="华文中宋" w:hAnsi="Times New Roman" w:cs="Times New Roman"/>
          <w:color w:val="000000" w:themeColor="text1"/>
          <w:kern w:val="0"/>
          <w:sz w:val="36"/>
          <w:szCs w:val="36"/>
        </w:rPr>
        <w:t>2017</w:t>
      </w:r>
      <w:r w:rsidRPr="00DF11A3">
        <w:rPr>
          <w:rFonts w:ascii="Times New Roman" w:eastAsia="华文中宋" w:hAnsi="Times New Roman" w:cs="Times New Roman"/>
          <w:color w:val="000000" w:themeColor="text1"/>
          <w:kern w:val="0"/>
          <w:sz w:val="36"/>
          <w:szCs w:val="36"/>
        </w:rPr>
        <w:t>年自治区海洋局政务公开重点工作分工表</w:t>
      </w:r>
    </w:p>
    <w:p w:rsidR="008400F7" w:rsidRDefault="008400F7" w:rsidP="005857D1">
      <w:pPr>
        <w:widowControl/>
        <w:spacing w:line="400" w:lineRule="exact"/>
        <w:jc w:val="center"/>
        <w:rPr>
          <w:rFonts w:ascii="Times New Roman" w:eastAsia="华文中宋" w:hAnsi="Times New Roman" w:cs="Times New Roman"/>
          <w:color w:val="000000" w:themeColor="text1"/>
          <w:kern w:val="0"/>
          <w:sz w:val="36"/>
          <w:szCs w:val="36"/>
        </w:rPr>
      </w:pPr>
    </w:p>
    <w:tbl>
      <w:tblPr>
        <w:tblW w:w="14714" w:type="dxa"/>
        <w:jc w:val="center"/>
        <w:tblInd w:w="-24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5812"/>
        <w:gridCol w:w="3177"/>
        <w:gridCol w:w="2815"/>
      </w:tblGrid>
      <w:tr w:rsidR="002E2A05" w:rsidRPr="004741FF" w:rsidTr="0046062B">
        <w:trPr>
          <w:trHeight w:val="345"/>
          <w:jc w:val="center"/>
        </w:trPr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47168" w:rsidRPr="004741FF" w:rsidRDefault="00B47168" w:rsidP="005857D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8"/>
                <w:szCs w:val="28"/>
              </w:rPr>
            </w:pPr>
            <w:r w:rsidRPr="004741FF">
              <w:rPr>
                <w:rFonts w:ascii="Times New Roman" w:eastAsia="宋体" w:hAnsi="Times New Roman" w:cs="Times New Roman"/>
                <w:b/>
                <w:color w:val="343434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47168" w:rsidRPr="004741FF" w:rsidRDefault="00B47168" w:rsidP="00185CA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8"/>
                <w:szCs w:val="28"/>
              </w:rPr>
            </w:pPr>
            <w:r w:rsidRPr="004741FF">
              <w:rPr>
                <w:rFonts w:ascii="Times New Roman" w:eastAsia="宋体" w:hAnsi="Times New Roman" w:cs="Times New Roman"/>
                <w:b/>
                <w:color w:val="343434"/>
                <w:kern w:val="0"/>
                <w:sz w:val="28"/>
                <w:szCs w:val="28"/>
              </w:rPr>
              <w:t>主要工作内容</w:t>
            </w:r>
            <w:r w:rsidR="007711C1">
              <w:rPr>
                <w:rFonts w:ascii="Times New Roman" w:eastAsia="宋体" w:hAnsi="Times New Roman" w:cs="Times New Roman" w:hint="eastAsia"/>
                <w:b/>
                <w:color w:val="343434"/>
                <w:kern w:val="0"/>
                <w:sz w:val="28"/>
                <w:szCs w:val="28"/>
              </w:rPr>
              <w:t>及完成时限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47168" w:rsidRPr="004741FF" w:rsidRDefault="00B47168" w:rsidP="005857D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8"/>
                <w:szCs w:val="28"/>
              </w:rPr>
            </w:pPr>
            <w:r w:rsidRPr="004741FF">
              <w:rPr>
                <w:rFonts w:ascii="Times New Roman" w:eastAsia="宋体" w:hAnsi="Times New Roman" w:cs="Times New Roman"/>
                <w:b/>
                <w:color w:val="343434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47168" w:rsidRPr="004741FF" w:rsidRDefault="00DA30C8" w:rsidP="005857D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343434"/>
                <w:kern w:val="0"/>
                <w:sz w:val="28"/>
                <w:szCs w:val="28"/>
              </w:rPr>
              <w:t>配合</w:t>
            </w:r>
            <w:r w:rsidR="00B47168" w:rsidRPr="004741FF">
              <w:rPr>
                <w:rFonts w:ascii="Times New Roman" w:eastAsia="宋体" w:hAnsi="Times New Roman" w:cs="Times New Roman"/>
                <w:b/>
                <w:color w:val="343434"/>
                <w:kern w:val="0"/>
                <w:sz w:val="28"/>
                <w:szCs w:val="28"/>
              </w:rPr>
              <w:t>单位</w:t>
            </w:r>
          </w:p>
        </w:tc>
      </w:tr>
      <w:tr w:rsidR="002E2A05" w:rsidRPr="00393560" w:rsidTr="0046062B">
        <w:trPr>
          <w:trHeight w:val="345"/>
          <w:jc w:val="center"/>
        </w:trPr>
        <w:tc>
          <w:tcPr>
            <w:tcW w:w="291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EF74DA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一、</w:t>
            </w:r>
            <w:r w:rsidR="00B47168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全面落实</w:t>
            </w:r>
            <w:r w:rsidR="00B47168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“</w:t>
            </w:r>
            <w:r w:rsidR="00B47168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五公开</w:t>
            </w:r>
            <w:r w:rsidR="00B47168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”</w:t>
            </w:r>
            <w:r w:rsidR="00B47168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工作机制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1.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将“五公开”要求落实到公文办理程序</w:t>
            </w:r>
          </w:p>
        </w:tc>
        <w:tc>
          <w:tcPr>
            <w:tcW w:w="31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862D5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局机关各处室，直属各单位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862D5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4"/>
                <w:szCs w:val="24"/>
              </w:rPr>
            </w:pPr>
          </w:p>
        </w:tc>
      </w:tr>
      <w:tr w:rsidR="002E2A05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2.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将“五公开”要求落实到会议办理程序</w:t>
            </w:r>
          </w:p>
        </w:tc>
        <w:tc>
          <w:tcPr>
            <w:tcW w:w="31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862D5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862D5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4"/>
                <w:szCs w:val="24"/>
              </w:rPr>
            </w:pPr>
          </w:p>
        </w:tc>
      </w:tr>
      <w:tr w:rsidR="002E2A05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3.</w:t>
            </w:r>
            <w:r w:rsidR="0028286B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2017</w:t>
            </w:r>
            <w:r w:rsidR="0028286B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年底前</w:t>
            </w:r>
            <w:r w:rsidR="00A76CF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，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制定完善</w:t>
            </w:r>
            <w:r w:rsidR="004946BF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我局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主动公开目录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862D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研究院、办公室</w:t>
            </w:r>
            <w:r w:rsidR="00514341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（</w:t>
            </w:r>
            <w:r w:rsidR="00294641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文秘科</w:t>
            </w:r>
            <w:r w:rsidR="00514341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）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6112E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2E2A05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4.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加强信息发布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862D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局机关各处室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，直属各单位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862D5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343434"/>
                <w:kern w:val="0"/>
                <w:sz w:val="24"/>
                <w:szCs w:val="24"/>
              </w:rPr>
            </w:pPr>
          </w:p>
        </w:tc>
      </w:tr>
      <w:tr w:rsidR="002E2A05" w:rsidRPr="00393560" w:rsidTr="0046062B">
        <w:trPr>
          <w:trHeight w:val="345"/>
          <w:jc w:val="center"/>
        </w:trPr>
        <w:tc>
          <w:tcPr>
            <w:tcW w:w="291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EF74DA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二、</w:t>
            </w:r>
            <w:r w:rsidR="00B47168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加强政策发布及解读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470442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5</w:t>
            </w:r>
            <w:r w:rsidR="00B47168"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.</w:t>
            </w:r>
            <w:r w:rsidR="00B47168"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政策类文件主动公开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751486" w:rsidRDefault="00751486" w:rsidP="00862D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75148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法规处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751486" w:rsidRDefault="00751486" w:rsidP="00862D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75148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局机关各处室、研究院</w:t>
            </w:r>
          </w:p>
        </w:tc>
      </w:tr>
      <w:tr w:rsidR="002E2A05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B47168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393560" w:rsidRDefault="00470442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6</w:t>
            </w:r>
            <w:r w:rsidR="00B47168"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.</w:t>
            </w:r>
            <w:r w:rsidR="004855F4" w:rsidRPr="004855F4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政策解读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751486" w:rsidRDefault="00751486" w:rsidP="005857D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75148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法规处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7168" w:rsidRPr="00751486" w:rsidRDefault="00751486" w:rsidP="005857D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75148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局机关各处室、研究院</w:t>
            </w:r>
          </w:p>
        </w:tc>
      </w:tr>
      <w:tr w:rsidR="00CC1B55" w:rsidRPr="00393560" w:rsidTr="0046062B">
        <w:trPr>
          <w:trHeight w:val="345"/>
          <w:jc w:val="center"/>
        </w:trPr>
        <w:tc>
          <w:tcPr>
            <w:tcW w:w="291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335CD6" w:rsidRDefault="00EF74DA" w:rsidP="001474BF">
            <w:pPr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三、</w:t>
            </w:r>
            <w:r w:rsidR="00CC1B55" w:rsidRPr="00335CD6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扩大公众参与</w:t>
            </w:r>
            <w:r w:rsidR="00CC1B55" w:rsidRPr="00335CD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及时</w:t>
            </w:r>
            <w:r w:rsidR="00CC1B55" w:rsidRPr="00335CD6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回应关切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393560" w:rsidRDefault="00CC1B55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1C5FAE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7.</w:t>
            </w:r>
            <w:r w:rsidRPr="001C5FAE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加强意见征集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751486" w:rsidRDefault="0068690D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办公室（宣传科）、</w:t>
            </w:r>
            <w:r w:rsidR="00CC1B55" w:rsidRPr="00CC1B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研究院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751486" w:rsidRDefault="00CC1B55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CC1B55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335CD6" w:rsidRDefault="00CC1B55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393560" w:rsidRDefault="00CC1B55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1C5FAE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8.</w:t>
            </w:r>
            <w:r w:rsidRPr="001C5FAE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回应社会热点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751486" w:rsidRDefault="0068690D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办公室（宣传科）、</w:t>
            </w:r>
            <w:r w:rsidR="00CC1B55" w:rsidRPr="00CC1B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研究院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751486" w:rsidRDefault="00CC1B55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CC1B55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335CD6" w:rsidRDefault="00CC1B55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1C5FAE" w:rsidRDefault="00CC1B55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1C5FAE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9.</w:t>
            </w:r>
            <w:r w:rsidRPr="001C5FAE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做好政务舆情回应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751486" w:rsidRDefault="0068690D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办公室（宣传科）、</w:t>
            </w:r>
            <w:r w:rsidR="00CC1B55" w:rsidRPr="00CC1B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研究院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1B55" w:rsidRPr="00751486" w:rsidRDefault="00CC1B55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487BB8" w:rsidRPr="00393560" w:rsidTr="0046062B">
        <w:trPr>
          <w:trHeight w:val="345"/>
          <w:jc w:val="center"/>
        </w:trPr>
        <w:tc>
          <w:tcPr>
            <w:tcW w:w="291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87BB8" w:rsidRPr="00335CD6" w:rsidRDefault="0055797C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四、</w:t>
            </w:r>
            <w:r w:rsidR="00487BB8" w:rsidRPr="008F7F72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加强政务公开平台建设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87BB8" w:rsidRPr="001C5FAE" w:rsidRDefault="00487BB8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10.</w:t>
            </w:r>
            <w:r>
              <w:rPr>
                <w:rFonts w:hint="eastAsia"/>
              </w:rPr>
              <w:t xml:space="preserve"> </w:t>
            </w:r>
            <w:r w:rsidRPr="00487BB8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加强门户网站建设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87BB8" w:rsidRPr="00751486" w:rsidRDefault="00487BB8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CC1B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研究院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87BB8" w:rsidRPr="00751486" w:rsidRDefault="00487BB8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487BB8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87BB8" w:rsidRPr="00335CD6" w:rsidRDefault="00487BB8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87BB8" w:rsidRPr="001C5FAE" w:rsidRDefault="00487BB8" w:rsidP="005857D1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11.</w:t>
            </w:r>
            <w:r>
              <w:rPr>
                <w:rFonts w:hint="eastAsia"/>
              </w:rPr>
              <w:t xml:space="preserve"> </w:t>
            </w:r>
            <w:r w:rsidRPr="00487BB8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充分利用新闻媒体平台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87BB8" w:rsidRPr="00751486" w:rsidRDefault="00487BB8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研究院、办公室</w:t>
            </w:r>
            <w:r w:rsidR="007A012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（宣传科）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87BB8" w:rsidRPr="00751486" w:rsidRDefault="00487BB8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4D520A" w:rsidRPr="00393560" w:rsidTr="0046062B">
        <w:trPr>
          <w:trHeight w:val="345"/>
          <w:jc w:val="center"/>
        </w:trPr>
        <w:tc>
          <w:tcPr>
            <w:tcW w:w="29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20A" w:rsidRPr="00335CD6" w:rsidRDefault="0055797C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五、</w:t>
            </w:r>
            <w:r w:rsidR="00636375" w:rsidRPr="0063637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制定政务公开培训计划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20A" w:rsidRPr="008D33D6" w:rsidRDefault="00217BBB" w:rsidP="008D33D6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12.</w:t>
            </w:r>
            <w:r w:rsidRPr="008D33D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 xml:space="preserve"> </w:t>
            </w:r>
            <w:r w:rsidR="006A0032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制定</w:t>
            </w:r>
            <w:r w:rsidRPr="0099724D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政务公开培训计划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20A" w:rsidRPr="00393560" w:rsidRDefault="007B0835" w:rsidP="004E3E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8D33D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办公室</w:t>
            </w:r>
            <w:r w:rsidR="00B27BD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（人事科）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20A" w:rsidRPr="00393560" w:rsidRDefault="003A31AD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局机关各处室，直属各单位</w:t>
            </w:r>
          </w:p>
        </w:tc>
      </w:tr>
      <w:tr w:rsidR="004918A7" w:rsidRPr="00393560" w:rsidTr="0046062B">
        <w:trPr>
          <w:trHeight w:val="345"/>
          <w:jc w:val="center"/>
        </w:trPr>
        <w:tc>
          <w:tcPr>
            <w:tcW w:w="29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918A7" w:rsidRPr="00636375" w:rsidRDefault="00003C52" w:rsidP="001474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六、</w:t>
            </w:r>
            <w:r w:rsidR="004918A7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扎实</w:t>
            </w:r>
            <w:r w:rsidR="004918A7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推进管理公开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918A7" w:rsidRDefault="00D31755" w:rsidP="008D33D6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13.</w:t>
            </w:r>
            <w:r>
              <w:rPr>
                <w:rFonts w:hint="eastAsia"/>
              </w:rPr>
              <w:t xml:space="preserve"> </w:t>
            </w:r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2017</w:t>
            </w:r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年</w:t>
            </w:r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1-6</w:t>
            </w:r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月，各处</w:t>
            </w:r>
            <w:proofErr w:type="gramStart"/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室全面</w:t>
            </w:r>
            <w:proofErr w:type="gramEnd"/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梳理海洋管理权力清单、责任清单、负面清单，</w:t>
            </w:r>
            <w:proofErr w:type="gramStart"/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报法规</w:t>
            </w:r>
            <w:proofErr w:type="gramEnd"/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处汇总审定。</w:t>
            </w:r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7-12</w:t>
            </w:r>
            <w:r w:rsidRPr="00D31755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月，进一步做好清单公开工作，建立健全清单动态调整机制。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918A7" w:rsidRPr="008D33D6" w:rsidRDefault="00FB7C37" w:rsidP="004E3E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办公室（</w:t>
            </w:r>
            <w:r w:rsidR="00512BAB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人事科</w:t>
            </w: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）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918A7" w:rsidRPr="00393560" w:rsidRDefault="0063790A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局机关各处室，直属各单位</w:t>
            </w:r>
          </w:p>
        </w:tc>
      </w:tr>
      <w:tr w:rsidR="001612EC" w:rsidRPr="00393560" w:rsidTr="0046062B">
        <w:trPr>
          <w:trHeight w:val="345"/>
          <w:jc w:val="center"/>
        </w:trPr>
        <w:tc>
          <w:tcPr>
            <w:tcW w:w="29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12EC" w:rsidRDefault="005839E6" w:rsidP="009108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lastRenderedPageBreak/>
              <w:t>七、</w:t>
            </w:r>
            <w:r w:rsidR="00FC57CF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扎实</w:t>
            </w:r>
            <w:r w:rsidR="00FC57CF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推进管理公开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12EC" w:rsidRDefault="001612EC" w:rsidP="008D33D6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．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2017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年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6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月底前，制订出台海洋行政执法公示制度，根据事权和职能，按照突出重点、依法有序、准确便民的原则，公开职责权限、执法依据、裁量基准、执法流程、执法结果、救济途径等。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12EC" w:rsidRPr="008D33D6" w:rsidRDefault="00C03DF6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海监总队、</w:t>
            </w:r>
            <w:r w:rsidR="001612EC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法规处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12EC" w:rsidRPr="00393560" w:rsidRDefault="001612EC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943868" w:rsidRPr="00393560" w:rsidTr="0046062B">
        <w:trPr>
          <w:trHeight w:val="345"/>
          <w:jc w:val="center"/>
        </w:trPr>
        <w:tc>
          <w:tcPr>
            <w:tcW w:w="291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3868" w:rsidRDefault="00E85BC9" w:rsidP="009108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八、</w:t>
            </w:r>
            <w:r w:rsidR="00943868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扎实</w:t>
            </w:r>
            <w:r w:rsidR="00943868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推进服务公开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3868" w:rsidRDefault="00943868" w:rsidP="008D33D6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15.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 xml:space="preserve"> 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推进服务事项目录和标准化建设，推动海洋政务服务向网上办理延伸。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2017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年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1-5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月，各处</w:t>
            </w:r>
            <w:proofErr w:type="gramStart"/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室全面</w:t>
            </w:r>
            <w:proofErr w:type="gramEnd"/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梳理对外服务事项</w:t>
            </w:r>
            <w:proofErr w:type="gramStart"/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报法规</w:t>
            </w:r>
            <w:proofErr w:type="gramEnd"/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处汇总审定。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6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月底前，全面公开我局对外服务事项，编制发布办事指南，简化优化办事流程。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3868" w:rsidRPr="00393560" w:rsidRDefault="00943868" w:rsidP="001B2C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法规处</w:t>
            </w: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窗口办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3868" w:rsidRPr="00393560" w:rsidRDefault="00943868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943868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3868" w:rsidRDefault="00943868" w:rsidP="009108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3868" w:rsidRDefault="00943868" w:rsidP="008D33D6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16.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2017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年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7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月前，各处</w:t>
            </w:r>
            <w:proofErr w:type="gramStart"/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室全面</w:t>
            </w:r>
            <w:proofErr w:type="gramEnd"/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梳理行政审批中介服务事项</w:t>
            </w:r>
            <w:proofErr w:type="gramStart"/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报法规</w:t>
            </w:r>
            <w:proofErr w:type="gramEnd"/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处汇总审定。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12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月前，公布行政审批中介服务事项清单，公开项目名称、设置依据、服务时限。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3868" w:rsidRPr="00393560" w:rsidRDefault="00943868" w:rsidP="00112CE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法规处</w:t>
            </w:r>
            <w:r w:rsidR="004E2EF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、窗口办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3868" w:rsidRPr="00393560" w:rsidRDefault="00943868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28182F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8182F" w:rsidRDefault="0028182F" w:rsidP="009108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8182F" w:rsidRDefault="0028182F" w:rsidP="008D33D6">
            <w:pPr>
              <w:widowControl/>
              <w:spacing w:line="400" w:lineRule="exac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17.</w:t>
            </w: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大力推进海洋公共企事业单位办事公开，要加强分类指导，组织编制公开服务事项目录，切实承担组织协调、监督指导职责。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8182F" w:rsidRPr="00393560" w:rsidRDefault="0028182F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法规处</w:t>
            </w:r>
            <w:r w:rsidR="0024515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、窗口办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8182F" w:rsidRPr="00393560" w:rsidRDefault="0028182F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4D5E69" w:rsidRPr="00393560" w:rsidTr="0046062B">
        <w:trPr>
          <w:trHeight w:val="345"/>
          <w:jc w:val="center"/>
        </w:trPr>
        <w:tc>
          <w:tcPr>
            <w:tcW w:w="291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E69" w:rsidRDefault="004D76F7" w:rsidP="009108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九、</w:t>
            </w:r>
            <w:r w:rsidR="004D5E69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推行“放管服”</w:t>
            </w:r>
          </w:p>
          <w:p w:rsidR="004D5E69" w:rsidRDefault="004D5E69" w:rsidP="009108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改革信息公开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E69" w:rsidRPr="00393560" w:rsidRDefault="004D5E69" w:rsidP="00D12337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配合自治区法制办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及时公开规章和政策性文件的修改、废止、失效等情况，并在政府网站已发布的原文件上</w:t>
            </w:r>
            <w:proofErr w:type="gramStart"/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作出</w:t>
            </w:r>
            <w:proofErr w:type="gramEnd"/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明确标注。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E69" w:rsidRPr="00393560" w:rsidRDefault="004D5E69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法规处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E69" w:rsidRPr="00393560" w:rsidRDefault="004D5E69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4D5E69" w:rsidRPr="00393560" w:rsidTr="0046062B">
        <w:trPr>
          <w:trHeight w:val="345"/>
          <w:jc w:val="center"/>
        </w:trPr>
        <w:tc>
          <w:tcPr>
            <w:tcW w:w="291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E69" w:rsidRDefault="004D5E69" w:rsidP="009108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E69" w:rsidRPr="00393560" w:rsidRDefault="004D5E69" w:rsidP="0084643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19.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依据法律、法规、规章及“三定”方案、权责清单的规定，梳理出涉及各部门的“双随机”检查事项，配合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lastRenderedPageBreak/>
              <w:t>自治区工商局编制《广西壮族自治区政府工作部门随机抽查事项清单》，内容包含监管部门、事项名称、抽查主体、抽查内容、抽查依据等，及时向社会公布并动态调整。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E69" w:rsidRPr="00393560" w:rsidRDefault="004D5E69" w:rsidP="00846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lastRenderedPageBreak/>
              <w:t>法规处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D5E69" w:rsidRPr="00393560" w:rsidRDefault="004D5E69" w:rsidP="00611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1607C6" w:rsidRPr="00393560" w:rsidTr="00E557F0">
        <w:trPr>
          <w:trHeight w:val="89"/>
          <w:jc w:val="center"/>
        </w:trPr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07C6" w:rsidRPr="00393560" w:rsidRDefault="00B46325" w:rsidP="00156FA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lastRenderedPageBreak/>
              <w:t>十、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提高信息化水平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07C6" w:rsidRPr="00393560" w:rsidRDefault="0046680B" w:rsidP="0084643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20.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积极运用大数据、云计算、移动互联网等信息技术，提高海洋政务公开信息化、集中化水平。加快推进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“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互联网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+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政务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”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，构建基于互联网的一体化政务服务体系。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07C6" w:rsidRPr="00393560" w:rsidRDefault="001607C6" w:rsidP="0062477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研究院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07C6" w:rsidRPr="00393560" w:rsidRDefault="007C2A2F" w:rsidP="006112EA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1607C6" w:rsidRPr="00393560" w:rsidTr="0046062B">
        <w:trPr>
          <w:trHeight w:val="89"/>
          <w:jc w:val="center"/>
        </w:trPr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07C6" w:rsidRPr="00393560" w:rsidRDefault="00021563" w:rsidP="008E4B5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十一、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完善制度规范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07C6" w:rsidRPr="00393560" w:rsidRDefault="0046680B" w:rsidP="006952A0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21.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2017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年</w:t>
            </w:r>
            <w:r w:rsidR="001870D3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10</w:t>
            </w:r>
            <w:r w:rsidR="001870D3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月底前</w:t>
            </w:r>
            <w:r w:rsidR="005E4BB3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，制订出台公众代表、专家、媒体、利益相关方等列席会议制度</w:t>
            </w:r>
            <w:r w:rsidR="005E63A1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；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建立健全</w:t>
            </w:r>
            <w:bookmarkStart w:id="0" w:name="_GoBack"/>
            <w:bookmarkEnd w:id="0"/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海洋政务公开制度，将政务公开实践成果上升为制度规范</w:t>
            </w:r>
            <w:r w:rsidR="006952A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；</w:t>
            </w:r>
            <w:r w:rsidR="001607C6" w:rsidRPr="00831A31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制定我局海洋信息公开实施办法。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07C6" w:rsidRPr="00393560" w:rsidRDefault="001607C6" w:rsidP="0062477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办公室</w:t>
            </w:r>
            <w:r w:rsidR="009C7366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（文秘科）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607C6" w:rsidRPr="00393560" w:rsidRDefault="009F1EA7" w:rsidP="006112EA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393560"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  <w:tr w:rsidR="001607C6" w:rsidRPr="00393560" w:rsidTr="0046062B">
        <w:trPr>
          <w:trHeight w:val="89"/>
          <w:jc w:val="center"/>
        </w:trPr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607C6" w:rsidRPr="00393560" w:rsidRDefault="004B293B" w:rsidP="00F444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十二、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加强考核监督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607C6" w:rsidRPr="00393560" w:rsidRDefault="0046680B" w:rsidP="005857D1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43434"/>
                <w:kern w:val="0"/>
                <w:sz w:val="24"/>
                <w:szCs w:val="24"/>
              </w:rPr>
              <w:t>22.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把政务公开纳入绩效考核体系，政务公开工作分值权重不应低于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4%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。</w:t>
            </w:r>
            <w:r w:rsidR="001607C6"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607C6" w:rsidRPr="00393560" w:rsidRDefault="001607C6" w:rsidP="0062477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</w:pPr>
            <w:r w:rsidRPr="00393560">
              <w:rPr>
                <w:rFonts w:ascii="Times New Roman" w:hAnsi="Times New Roman" w:cs="Times New Roman"/>
                <w:color w:val="343434"/>
                <w:kern w:val="0"/>
                <w:sz w:val="24"/>
                <w:szCs w:val="24"/>
              </w:rPr>
              <w:t>局绩效办</w:t>
            </w:r>
          </w:p>
        </w:tc>
        <w:tc>
          <w:tcPr>
            <w:tcW w:w="2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607C6" w:rsidRPr="00393560" w:rsidRDefault="00522CF9" w:rsidP="006112EA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343434"/>
                <w:kern w:val="0"/>
                <w:sz w:val="24"/>
                <w:szCs w:val="24"/>
              </w:rPr>
            </w:pPr>
            <w:r w:rsidRPr="00522CF9">
              <w:rPr>
                <w:rFonts w:asciiTheme="minorEastAsia" w:hAnsiTheme="minorEastAsia" w:cs="Times New Roman" w:hint="eastAsia"/>
                <w:color w:val="343434"/>
                <w:kern w:val="0"/>
                <w:sz w:val="24"/>
                <w:szCs w:val="24"/>
              </w:rPr>
              <w:t>局机关各处室</w:t>
            </w:r>
            <w:r w:rsidR="006112EA">
              <w:rPr>
                <w:rFonts w:asciiTheme="minorEastAsia" w:hAnsiTheme="minorEastAsia" w:cs="Times New Roman" w:hint="eastAsia"/>
                <w:color w:val="343434"/>
                <w:kern w:val="0"/>
                <w:sz w:val="24"/>
                <w:szCs w:val="24"/>
              </w:rPr>
              <w:t>、</w:t>
            </w:r>
            <w:r w:rsidRPr="00522CF9">
              <w:rPr>
                <w:rFonts w:asciiTheme="minorEastAsia" w:hAnsiTheme="minorEastAsia" w:cs="Times New Roman" w:hint="eastAsia"/>
                <w:color w:val="343434"/>
                <w:kern w:val="0"/>
                <w:sz w:val="24"/>
                <w:szCs w:val="24"/>
              </w:rPr>
              <w:t>直属各单位</w:t>
            </w:r>
          </w:p>
        </w:tc>
      </w:tr>
    </w:tbl>
    <w:p w:rsidR="00DB1ACE" w:rsidRPr="00B47168" w:rsidRDefault="00DB1ACE" w:rsidP="00F444A0">
      <w:pPr>
        <w:widowControl/>
        <w:spacing w:line="400" w:lineRule="exact"/>
        <w:jc w:val="left"/>
      </w:pPr>
    </w:p>
    <w:sectPr w:rsidR="00DB1ACE" w:rsidRPr="00B47168" w:rsidSect="00B4716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90" w:rsidRDefault="00BD7E90" w:rsidP="00B47168">
      <w:r>
        <w:separator/>
      </w:r>
    </w:p>
  </w:endnote>
  <w:endnote w:type="continuationSeparator" w:id="0">
    <w:p w:rsidR="00BD7E90" w:rsidRDefault="00BD7E90" w:rsidP="00B4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28567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10D76" w:rsidRPr="00810D76" w:rsidRDefault="00810D76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810D76">
          <w:rPr>
            <w:rFonts w:asciiTheme="minorEastAsia" w:hAnsiTheme="minorEastAsia"/>
            <w:sz w:val="28"/>
            <w:szCs w:val="28"/>
          </w:rPr>
          <w:fldChar w:fldCharType="begin"/>
        </w:r>
        <w:r w:rsidRPr="00810D76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10D76">
          <w:rPr>
            <w:rFonts w:asciiTheme="minorEastAsia" w:hAnsiTheme="minorEastAsia"/>
            <w:sz w:val="28"/>
            <w:szCs w:val="28"/>
          </w:rPr>
          <w:fldChar w:fldCharType="separate"/>
        </w:r>
        <w:r w:rsidR="006112EA" w:rsidRPr="006112EA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810D7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10D76" w:rsidRDefault="00810D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90" w:rsidRDefault="00BD7E90" w:rsidP="00B47168">
      <w:r>
        <w:separator/>
      </w:r>
    </w:p>
  </w:footnote>
  <w:footnote w:type="continuationSeparator" w:id="0">
    <w:p w:rsidR="00BD7E90" w:rsidRDefault="00BD7E90" w:rsidP="00B47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5C"/>
    <w:rsid w:val="00003C52"/>
    <w:rsid w:val="00021563"/>
    <w:rsid w:val="00034A57"/>
    <w:rsid w:val="00071EAC"/>
    <w:rsid w:val="00093FD0"/>
    <w:rsid w:val="000A2C1B"/>
    <w:rsid w:val="00105545"/>
    <w:rsid w:val="0010650B"/>
    <w:rsid w:val="00112CE6"/>
    <w:rsid w:val="001443BF"/>
    <w:rsid w:val="001474BF"/>
    <w:rsid w:val="00156FA4"/>
    <w:rsid w:val="001603DD"/>
    <w:rsid w:val="001607C6"/>
    <w:rsid w:val="001607F8"/>
    <w:rsid w:val="001612EC"/>
    <w:rsid w:val="00162917"/>
    <w:rsid w:val="00164229"/>
    <w:rsid w:val="00185CAE"/>
    <w:rsid w:val="001870D3"/>
    <w:rsid w:val="001905E4"/>
    <w:rsid w:val="001A4825"/>
    <w:rsid w:val="001B2CB7"/>
    <w:rsid w:val="001C1C7B"/>
    <w:rsid w:val="001C413A"/>
    <w:rsid w:val="001C5FAE"/>
    <w:rsid w:val="001E1ECC"/>
    <w:rsid w:val="001E5867"/>
    <w:rsid w:val="001F0BFA"/>
    <w:rsid w:val="00213A67"/>
    <w:rsid w:val="00217BBB"/>
    <w:rsid w:val="002223F4"/>
    <w:rsid w:val="0024515A"/>
    <w:rsid w:val="002519B0"/>
    <w:rsid w:val="002531CF"/>
    <w:rsid w:val="0028182F"/>
    <w:rsid w:val="0028286B"/>
    <w:rsid w:val="00294641"/>
    <w:rsid w:val="002B3F74"/>
    <w:rsid w:val="002C32FC"/>
    <w:rsid w:val="002D66F8"/>
    <w:rsid w:val="002E2A05"/>
    <w:rsid w:val="00301A64"/>
    <w:rsid w:val="00303EE1"/>
    <w:rsid w:val="00311257"/>
    <w:rsid w:val="00324636"/>
    <w:rsid w:val="00335CD6"/>
    <w:rsid w:val="00340A9F"/>
    <w:rsid w:val="00354484"/>
    <w:rsid w:val="00374FFB"/>
    <w:rsid w:val="003A31AD"/>
    <w:rsid w:val="003C25E8"/>
    <w:rsid w:val="003D6074"/>
    <w:rsid w:val="00406245"/>
    <w:rsid w:val="004105D6"/>
    <w:rsid w:val="0041150E"/>
    <w:rsid w:val="00454DF0"/>
    <w:rsid w:val="0046062B"/>
    <w:rsid w:val="0046680B"/>
    <w:rsid w:val="00470442"/>
    <w:rsid w:val="004759F6"/>
    <w:rsid w:val="004855F4"/>
    <w:rsid w:val="00487BB8"/>
    <w:rsid w:val="004918A7"/>
    <w:rsid w:val="004946BF"/>
    <w:rsid w:val="004B293B"/>
    <w:rsid w:val="004D520A"/>
    <w:rsid w:val="004D5E69"/>
    <w:rsid w:val="004D76F7"/>
    <w:rsid w:val="004E2EF0"/>
    <w:rsid w:val="004E3EB9"/>
    <w:rsid w:val="004F2FC4"/>
    <w:rsid w:val="00512BAB"/>
    <w:rsid w:val="00514341"/>
    <w:rsid w:val="00522CF9"/>
    <w:rsid w:val="00523FF6"/>
    <w:rsid w:val="0055797C"/>
    <w:rsid w:val="005839E6"/>
    <w:rsid w:val="005857D1"/>
    <w:rsid w:val="005B2090"/>
    <w:rsid w:val="005C22E8"/>
    <w:rsid w:val="005E4BB3"/>
    <w:rsid w:val="005E63A1"/>
    <w:rsid w:val="005F625C"/>
    <w:rsid w:val="006000AC"/>
    <w:rsid w:val="006112EA"/>
    <w:rsid w:val="00624775"/>
    <w:rsid w:val="00634745"/>
    <w:rsid w:val="00636375"/>
    <w:rsid w:val="0063790A"/>
    <w:rsid w:val="006430EA"/>
    <w:rsid w:val="0064797D"/>
    <w:rsid w:val="006826FD"/>
    <w:rsid w:val="00683DA9"/>
    <w:rsid w:val="0068690D"/>
    <w:rsid w:val="00687A7B"/>
    <w:rsid w:val="006952A0"/>
    <w:rsid w:val="006A0032"/>
    <w:rsid w:val="006C498B"/>
    <w:rsid w:val="006D62D7"/>
    <w:rsid w:val="006D63AA"/>
    <w:rsid w:val="00706FDF"/>
    <w:rsid w:val="00751486"/>
    <w:rsid w:val="007711C1"/>
    <w:rsid w:val="0078178B"/>
    <w:rsid w:val="0078249A"/>
    <w:rsid w:val="0078324E"/>
    <w:rsid w:val="007A0126"/>
    <w:rsid w:val="007B0835"/>
    <w:rsid w:val="007B4336"/>
    <w:rsid w:val="007C2A2F"/>
    <w:rsid w:val="007C47BD"/>
    <w:rsid w:val="00810D76"/>
    <w:rsid w:val="00812F35"/>
    <w:rsid w:val="00831A31"/>
    <w:rsid w:val="008400F7"/>
    <w:rsid w:val="00862D5A"/>
    <w:rsid w:val="008653C4"/>
    <w:rsid w:val="008A1C41"/>
    <w:rsid w:val="008A3DF6"/>
    <w:rsid w:val="008D33D6"/>
    <w:rsid w:val="008E4B50"/>
    <w:rsid w:val="008E5B8D"/>
    <w:rsid w:val="008F0A8C"/>
    <w:rsid w:val="008F7F72"/>
    <w:rsid w:val="00910864"/>
    <w:rsid w:val="0091165E"/>
    <w:rsid w:val="009316C5"/>
    <w:rsid w:val="00943868"/>
    <w:rsid w:val="0094390B"/>
    <w:rsid w:val="009440F6"/>
    <w:rsid w:val="00981C8A"/>
    <w:rsid w:val="0099724D"/>
    <w:rsid w:val="009A7CD7"/>
    <w:rsid w:val="009B231A"/>
    <w:rsid w:val="009B3B99"/>
    <w:rsid w:val="009C7366"/>
    <w:rsid w:val="009F1EA7"/>
    <w:rsid w:val="00A06D66"/>
    <w:rsid w:val="00A06EAE"/>
    <w:rsid w:val="00A0773A"/>
    <w:rsid w:val="00A2140D"/>
    <w:rsid w:val="00A457AE"/>
    <w:rsid w:val="00A61933"/>
    <w:rsid w:val="00A73E93"/>
    <w:rsid w:val="00A76CF6"/>
    <w:rsid w:val="00A839D0"/>
    <w:rsid w:val="00A846E3"/>
    <w:rsid w:val="00AC35C7"/>
    <w:rsid w:val="00AD1E9F"/>
    <w:rsid w:val="00AD6F0E"/>
    <w:rsid w:val="00AF1A4F"/>
    <w:rsid w:val="00B1371C"/>
    <w:rsid w:val="00B15ECA"/>
    <w:rsid w:val="00B169C2"/>
    <w:rsid w:val="00B27BD6"/>
    <w:rsid w:val="00B46325"/>
    <w:rsid w:val="00B47168"/>
    <w:rsid w:val="00B475F0"/>
    <w:rsid w:val="00B56AB4"/>
    <w:rsid w:val="00BA26D0"/>
    <w:rsid w:val="00BB75D5"/>
    <w:rsid w:val="00BD7E90"/>
    <w:rsid w:val="00C03DF6"/>
    <w:rsid w:val="00C42FDF"/>
    <w:rsid w:val="00C551DF"/>
    <w:rsid w:val="00C60533"/>
    <w:rsid w:val="00C92662"/>
    <w:rsid w:val="00CC1B55"/>
    <w:rsid w:val="00CD3CE9"/>
    <w:rsid w:val="00CD5C75"/>
    <w:rsid w:val="00CE3FBB"/>
    <w:rsid w:val="00CF527F"/>
    <w:rsid w:val="00D12337"/>
    <w:rsid w:val="00D24C1C"/>
    <w:rsid w:val="00D31755"/>
    <w:rsid w:val="00D706CB"/>
    <w:rsid w:val="00D77577"/>
    <w:rsid w:val="00D807FF"/>
    <w:rsid w:val="00DA30C8"/>
    <w:rsid w:val="00DB1ACE"/>
    <w:rsid w:val="00DD38A9"/>
    <w:rsid w:val="00DF559A"/>
    <w:rsid w:val="00E14547"/>
    <w:rsid w:val="00E553ED"/>
    <w:rsid w:val="00E557F0"/>
    <w:rsid w:val="00E65485"/>
    <w:rsid w:val="00E77948"/>
    <w:rsid w:val="00E85BC9"/>
    <w:rsid w:val="00EB68AB"/>
    <w:rsid w:val="00EC0852"/>
    <w:rsid w:val="00EE6C86"/>
    <w:rsid w:val="00EF74DA"/>
    <w:rsid w:val="00F1541C"/>
    <w:rsid w:val="00F41096"/>
    <w:rsid w:val="00F444A0"/>
    <w:rsid w:val="00F71C72"/>
    <w:rsid w:val="00FA781C"/>
    <w:rsid w:val="00FB7C37"/>
    <w:rsid w:val="00FC57CF"/>
    <w:rsid w:val="00FF2324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1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黄伟昌</dc:creator>
  <cp:keywords/>
  <dc:description/>
  <cp:lastModifiedBy>黄伟昌</cp:lastModifiedBy>
  <cp:revision>325</cp:revision>
  <dcterms:created xsi:type="dcterms:W3CDTF">2017-06-30T13:01:00Z</dcterms:created>
  <dcterms:modified xsi:type="dcterms:W3CDTF">2017-07-25T09:50:00Z</dcterms:modified>
</cp:coreProperties>
</file>